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3458"/>
        <w:gridCol w:w="850"/>
        <w:gridCol w:w="1134"/>
        <w:gridCol w:w="3261"/>
        <w:gridCol w:w="1389"/>
        <w:gridCol w:w="3223"/>
        <w:gridCol w:w="11"/>
      </w:tblGrid>
      <w:tr w:rsidR="00BE635C" w:rsidRPr="006073B3" w:rsidTr="00BE635C">
        <w:trPr>
          <w:jc w:val="center"/>
        </w:trPr>
        <w:tc>
          <w:tcPr>
            <w:tcW w:w="14091" w:type="dxa"/>
            <w:gridSpan w:val="8"/>
            <w:shd w:val="clear" w:color="auto" w:fill="F4B083"/>
          </w:tcPr>
          <w:p w:rsidR="00BE635C" w:rsidRPr="006073B3" w:rsidRDefault="00BE635C" w:rsidP="0093047A">
            <w:pPr>
              <w:widowControl w:val="0"/>
              <w:spacing w:before="120" w:after="120"/>
              <w:jc w:val="center"/>
              <w:rPr>
                <w:b/>
                <w:bCs/>
                <w:sz w:val="24"/>
                <w:szCs w:val="24"/>
              </w:rPr>
            </w:pPr>
            <w:bookmarkStart w:id="0" w:name="_GoBack"/>
            <w:bookmarkEnd w:id="0"/>
            <w:r w:rsidRPr="006073B3">
              <w:rPr>
                <w:b/>
                <w:bCs/>
                <w:sz w:val="24"/>
                <w:szCs w:val="24"/>
              </w:rPr>
              <w:t>Hưng Yên</w:t>
            </w:r>
          </w:p>
        </w:tc>
      </w:tr>
      <w:tr w:rsidR="00BE635C" w:rsidRPr="006073B3" w:rsidTr="00BE635C">
        <w:trPr>
          <w:gridAfter w:val="1"/>
          <w:wAfter w:w="11" w:type="dxa"/>
          <w:trHeight w:val="442"/>
          <w:jc w:val="center"/>
        </w:trPr>
        <w:tc>
          <w:tcPr>
            <w:tcW w:w="765" w:type="dxa"/>
            <w:shd w:val="clear" w:color="auto" w:fill="auto"/>
            <w:vAlign w:val="center"/>
            <w:hideMark/>
          </w:tcPr>
          <w:p w:rsidR="00BE635C" w:rsidRPr="006073B3" w:rsidRDefault="00BE635C" w:rsidP="0093047A">
            <w:pPr>
              <w:widowControl w:val="0"/>
              <w:spacing w:before="240" w:after="120"/>
              <w:jc w:val="center"/>
              <w:rPr>
                <w:b/>
                <w:bCs/>
                <w:sz w:val="24"/>
                <w:szCs w:val="24"/>
              </w:rPr>
            </w:pPr>
            <w:r w:rsidRPr="006073B3">
              <w:rPr>
                <w:b/>
                <w:bCs/>
                <w:sz w:val="24"/>
                <w:szCs w:val="24"/>
              </w:rPr>
              <w:t>STT</w:t>
            </w:r>
          </w:p>
        </w:tc>
        <w:tc>
          <w:tcPr>
            <w:tcW w:w="3458" w:type="dxa"/>
            <w:shd w:val="clear" w:color="auto" w:fill="auto"/>
            <w:vAlign w:val="center"/>
            <w:hideMark/>
          </w:tcPr>
          <w:p w:rsidR="00BE635C" w:rsidRPr="006073B3" w:rsidRDefault="00BE635C" w:rsidP="0093047A">
            <w:pPr>
              <w:widowControl w:val="0"/>
              <w:spacing w:before="240" w:after="120"/>
              <w:jc w:val="center"/>
              <w:rPr>
                <w:b/>
                <w:bCs/>
                <w:sz w:val="24"/>
                <w:szCs w:val="24"/>
              </w:rPr>
            </w:pPr>
            <w:r w:rsidRPr="006073B3">
              <w:rPr>
                <w:b/>
                <w:bCs/>
                <w:sz w:val="24"/>
                <w:szCs w:val="24"/>
              </w:rPr>
              <w:t>Lĩnh vực/Tiêu chí/Tiêu chí thành phần</w:t>
            </w:r>
          </w:p>
        </w:tc>
        <w:tc>
          <w:tcPr>
            <w:tcW w:w="850" w:type="dxa"/>
            <w:shd w:val="clear" w:color="auto" w:fill="auto"/>
            <w:vAlign w:val="center"/>
            <w:hideMark/>
          </w:tcPr>
          <w:p w:rsidR="00BE635C" w:rsidRPr="006073B3" w:rsidRDefault="00BE635C" w:rsidP="0093047A">
            <w:pPr>
              <w:widowControl w:val="0"/>
              <w:spacing w:before="240" w:after="120"/>
              <w:jc w:val="center"/>
              <w:rPr>
                <w:b/>
                <w:bCs/>
                <w:sz w:val="24"/>
                <w:szCs w:val="24"/>
              </w:rPr>
            </w:pPr>
            <w:r w:rsidRPr="006073B3">
              <w:rPr>
                <w:b/>
                <w:bCs/>
                <w:sz w:val="24"/>
                <w:szCs w:val="24"/>
              </w:rPr>
              <w:t>Điểm chuẩn</w:t>
            </w:r>
          </w:p>
        </w:tc>
        <w:tc>
          <w:tcPr>
            <w:tcW w:w="1134" w:type="dxa"/>
            <w:shd w:val="clear" w:color="auto" w:fill="auto"/>
            <w:vAlign w:val="center"/>
            <w:hideMark/>
          </w:tcPr>
          <w:p w:rsidR="00BE635C" w:rsidRPr="006073B3" w:rsidRDefault="00BE635C" w:rsidP="0093047A">
            <w:pPr>
              <w:widowControl w:val="0"/>
              <w:spacing w:before="240" w:after="120"/>
              <w:jc w:val="center"/>
              <w:rPr>
                <w:b/>
                <w:iCs/>
                <w:sz w:val="24"/>
                <w:szCs w:val="24"/>
              </w:rPr>
            </w:pPr>
            <w:r w:rsidRPr="006073B3">
              <w:rPr>
                <w:b/>
                <w:iCs/>
                <w:sz w:val="24"/>
                <w:szCs w:val="24"/>
              </w:rPr>
              <w:t>Điểm tự đánh giá</w:t>
            </w:r>
          </w:p>
        </w:tc>
        <w:tc>
          <w:tcPr>
            <w:tcW w:w="3261" w:type="dxa"/>
            <w:shd w:val="clear" w:color="auto" w:fill="auto"/>
            <w:vAlign w:val="center"/>
            <w:hideMark/>
          </w:tcPr>
          <w:p w:rsidR="00BE635C" w:rsidRPr="006073B3" w:rsidRDefault="00BE635C" w:rsidP="0093047A">
            <w:pPr>
              <w:widowControl w:val="0"/>
              <w:spacing w:before="240" w:after="120"/>
              <w:jc w:val="center"/>
              <w:rPr>
                <w:b/>
                <w:iCs/>
                <w:sz w:val="24"/>
                <w:szCs w:val="24"/>
              </w:rPr>
            </w:pPr>
            <w:r w:rsidRPr="006073B3">
              <w:rPr>
                <w:b/>
                <w:iCs/>
                <w:sz w:val="24"/>
                <w:szCs w:val="24"/>
              </w:rPr>
              <w:t>Giải trình</w:t>
            </w:r>
          </w:p>
        </w:tc>
        <w:tc>
          <w:tcPr>
            <w:tcW w:w="1389" w:type="dxa"/>
            <w:vAlign w:val="center"/>
          </w:tcPr>
          <w:p w:rsidR="00BE635C" w:rsidRPr="006073B3" w:rsidRDefault="00BE635C" w:rsidP="0093047A">
            <w:pPr>
              <w:widowControl w:val="0"/>
              <w:spacing w:before="240" w:after="120"/>
              <w:jc w:val="center"/>
              <w:rPr>
                <w:b/>
                <w:iCs/>
                <w:sz w:val="24"/>
                <w:szCs w:val="24"/>
              </w:rPr>
            </w:pPr>
            <w:r>
              <w:rPr>
                <w:b/>
                <w:iCs/>
                <w:sz w:val="24"/>
                <w:szCs w:val="24"/>
              </w:rPr>
              <w:t>Điểm thẩm định</w:t>
            </w:r>
          </w:p>
        </w:tc>
        <w:tc>
          <w:tcPr>
            <w:tcW w:w="3223" w:type="dxa"/>
            <w:vAlign w:val="center"/>
          </w:tcPr>
          <w:p w:rsidR="00BE635C" w:rsidRPr="006073B3" w:rsidRDefault="00BE635C" w:rsidP="0093047A">
            <w:pPr>
              <w:widowControl w:val="0"/>
              <w:spacing w:before="240" w:after="120"/>
              <w:jc w:val="center"/>
              <w:rPr>
                <w:b/>
                <w:iCs/>
                <w:sz w:val="24"/>
                <w:szCs w:val="24"/>
              </w:rPr>
            </w:pPr>
            <w:r w:rsidRPr="002B1C8E">
              <w:rPr>
                <w:b/>
                <w:iCs/>
                <w:sz w:val="24"/>
                <w:szCs w:val="24"/>
              </w:rPr>
              <w:t>Ý kiến hội đồng thẩm định</w:t>
            </w:r>
          </w:p>
        </w:tc>
      </w:tr>
      <w:tr w:rsidR="00BE635C" w:rsidRPr="00C60D51" w:rsidTr="00BE635C">
        <w:trPr>
          <w:gridAfter w:val="1"/>
          <w:wAfter w:w="11" w:type="dxa"/>
          <w:jc w:val="center"/>
        </w:trPr>
        <w:tc>
          <w:tcPr>
            <w:tcW w:w="765" w:type="dxa"/>
            <w:shd w:val="clear" w:color="auto" w:fill="auto"/>
            <w:hideMark/>
          </w:tcPr>
          <w:p w:rsidR="00BE635C" w:rsidRPr="00C60D51" w:rsidRDefault="00BE635C" w:rsidP="0093047A">
            <w:pPr>
              <w:widowControl w:val="0"/>
              <w:spacing w:before="120" w:after="120" w:line="288" w:lineRule="auto"/>
              <w:rPr>
                <w:b/>
                <w:bCs/>
                <w:sz w:val="24"/>
                <w:szCs w:val="24"/>
              </w:rPr>
            </w:pPr>
            <w:r w:rsidRPr="00C60D51">
              <w:rPr>
                <w:b/>
                <w:bCs/>
                <w:sz w:val="24"/>
                <w:szCs w:val="24"/>
              </w:rPr>
              <w:t>1</w:t>
            </w:r>
          </w:p>
        </w:tc>
        <w:tc>
          <w:tcPr>
            <w:tcW w:w="3458" w:type="dxa"/>
            <w:shd w:val="clear" w:color="auto" w:fill="auto"/>
            <w:hideMark/>
          </w:tcPr>
          <w:p w:rsidR="00BE635C" w:rsidRPr="00C60D51" w:rsidRDefault="00BE635C" w:rsidP="0093047A">
            <w:pPr>
              <w:widowControl w:val="0"/>
              <w:spacing w:before="120" w:after="120" w:line="288" w:lineRule="auto"/>
              <w:rPr>
                <w:b/>
                <w:bCs/>
                <w:sz w:val="24"/>
                <w:szCs w:val="24"/>
              </w:rPr>
            </w:pPr>
            <w:r w:rsidRPr="00C60D51">
              <w:rPr>
                <w:b/>
                <w:bCs/>
                <w:sz w:val="24"/>
                <w:szCs w:val="24"/>
              </w:rPr>
              <w:t>CÔNG TÁC CHỈ ĐẠO, ĐIỀU HÀNH CCHC</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1,0139</w:t>
            </w:r>
          </w:p>
        </w:tc>
        <w:tc>
          <w:tcPr>
            <w:tcW w:w="3261" w:type="dxa"/>
            <w:shd w:val="clear" w:color="auto" w:fill="auto"/>
            <w:hideMark/>
          </w:tcPr>
          <w:p w:rsidR="00BE635C" w:rsidRPr="00C60D51" w:rsidRDefault="00BE635C" w:rsidP="0093047A">
            <w:pPr>
              <w:widowControl w:val="0"/>
              <w:spacing w:before="120" w:after="120" w:line="288" w:lineRule="auto"/>
              <w:rPr>
                <w:b/>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Pr="00C60D51" w:rsidRDefault="00BE635C" w:rsidP="0093047A">
            <w:pPr>
              <w:widowControl w:val="0"/>
              <w:spacing w:before="120" w:after="120" w:line="288" w:lineRule="auto"/>
              <w:rPr>
                <w:b/>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1.7</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Thực hiện nhiệm vụ được Chính phủ, Thủ tướng Chính phủ giao</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1,0139</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Theo số liệu kết xuất từ Hệ thống theo dõi nhiệm vụ của Văn phòng Chính phủ (https://tdnv.vpcp.vn), kết quả thực hiện nhiệm vụ được Chính phủ, Thủ tướng Chính phủ giao của tỉnh Hưng Yên năm 2023 (thời gian từ ngày 01/01/2023 đến ngày 31/12/2023) như sau: a (là tổng số nhiệm vụ được giao) = 180 nhiệm vụ; b (là số nhiệm vụ đã hoàn thành đúng tiến độ) = 119 nhiệm vụ; c (là số nhiệm vụ đã hoàn thành nhưng muộn so với tiến độ) = 4 nhiệm vụ. Điểm được tính theo công thức = (b/a) *1.5 + (c/a)*1.0 </w:t>
            </w:r>
            <w:proofErr w:type="gramStart"/>
            <w:r>
              <w:rPr>
                <w:iCs/>
                <w:sz w:val="24"/>
                <w:szCs w:val="24"/>
              </w:rPr>
              <w:t>=  (</w:t>
            </w:r>
            <w:proofErr w:type="gramEnd"/>
            <w:r>
              <w:rPr>
                <w:iCs/>
                <w:sz w:val="24"/>
                <w:szCs w:val="24"/>
              </w:rPr>
              <w:t xml:space="preserve">119/180)*1.5+(4/180)*1.0 = 1.0139 điểm. Tài liệu kiểm chứng: Số liệu kết xuất từ Hệ thống theo dõi nhiệm vụ của </w:t>
            </w:r>
            <w:r>
              <w:rPr>
                <w:iCs/>
                <w:sz w:val="24"/>
                <w:szCs w:val="24"/>
              </w:rPr>
              <w:lastRenderedPageBreak/>
              <w:t>Văn phòng Chính phủ (https://tdnv.vpcp.vn), thời gian từ ngày 01/01/2023 đến ngày 31/12/2023.</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C60D51" w:rsidTr="00BE635C">
        <w:trPr>
          <w:gridAfter w:val="1"/>
          <w:wAfter w:w="11" w:type="dxa"/>
          <w:jc w:val="center"/>
        </w:trPr>
        <w:tc>
          <w:tcPr>
            <w:tcW w:w="765" w:type="dxa"/>
            <w:shd w:val="clear" w:color="auto" w:fill="auto"/>
            <w:hideMark/>
          </w:tcPr>
          <w:p w:rsidR="00BE635C" w:rsidRPr="00C60D51" w:rsidRDefault="00BE635C" w:rsidP="0093047A">
            <w:pPr>
              <w:widowControl w:val="0"/>
              <w:spacing w:before="120" w:after="120" w:line="288" w:lineRule="auto"/>
              <w:rPr>
                <w:b/>
                <w:bCs/>
                <w:sz w:val="24"/>
                <w:szCs w:val="24"/>
              </w:rPr>
            </w:pPr>
            <w:r w:rsidRPr="00C60D51">
              <w:rPr>
                <w:b/>
                <w:bCs/>
                <w:sz w:val="24"/>
                <w:szCs w:val="24"/>
              </w:rPr>
              <w:t>3</w:t>
            </w:r>
          </w:p>
        </w:tc>
        <w:tc>
          <w:tcPr>
            <w:tcW w:w="3458" w:type="dxa"/>
            <w:shd w:val="clear" w:color="auto" w:fill="auto"/>
            <w:hideMark/>
          </w:tcPr>
          <w:p w:rsidR="00BE635C" w:rsidRPr="00C60D51" w:rsidRDefault="00BE635C" w:rsidP="0093047A">
            <w:pPr>
              <w:widowControl w:val="0"/>
              <w:spacing w:before="120" w:after="120" w:line="288" w:lineRule="auto"/>
              <w:rPr>
                <w:b/>
                <w:bCs/>
                <w:sz w:val="24"/>
                <w:szCs w:val="24"/>
              </w:rPr>
            </w:pPr>
            <w:r w:rsidRPr="00C60D51">
              <w:rPr>
                <w:b/>
                <w:bCs/>
                <w:sz w:val="24"/>
                <w:szCs w:val="24"/>
              </w:rPr>
              <w:t>CẢI CÁCH THỦ TỤC HÀNH CHÍNH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13</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12,9888</w:t>
            </w:r>
          </w:p>
        </w:tc>
        <w:tc>
          <w:tcPr>
            <w:tcW w:w="3261" w:type="dxa"/>
            <w:shd w:val="clear" w:color="auto" w:fill="auto"/>
            <w:hideMark/>
          </w:tcPr>
          <w:p w:rsidR="00BE635C" w:rsidRPr="00C60D51" w:rsidRDefault="00BE635C" w:rsidP="0093047A">
            <w:pPr>
              <w:widowControl w:val="0"/>
              <w:spacing w:before="120" w:after="120" w:line="288" w:lineRule="auto"/>
              <w:rPr>
                <w:b/>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Pr="00C60D51" w:rsidRDefault="00BE635C" w:rsidP="0093047A">
            <w:pPr>
              <w:widowControl w:val="0"/>
              <w:spacing w:before="120" w:after="120" w:line="288" w:lineRule="auto"/>
              <w:rPr>
                <w:b/>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3.1</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Kiểm soát quy định thủ tục hành chính (TTHC)</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1. Không có TTHC ban hành trái thẩm quyền: Trong năm 2023, UBND tỉnh Hưng Yên không ban hành văn bản quy phạm pháp luật có quy định TTHC nên không có TTHC ban hành trái thẩm quyền. Tài liệu kiểm chứng: Báo cáo công tác kiểm soát TTHC, triển khai cơ chế một cửa, một cửa liên thông trong giải quyết TTHC và thực hiện TTHC trên môi trường điện tử năm 2023 (Bản Đề cương báo cáo và các Biểu số II.01a/VPCP/KSTT, Biểu số II.01b/VPCP/KSTT, Biểu số II.02c/VPCP/KSTT được kết xuất từ Hệ thống thông tin báo cáo của Văn phòng Chính phủ).  2. Có các kiến nghị cải cách TTHC, kiến nghị cụ thể </w:t>
            </w:r>
            <w:r>
              <w:rPr>
                <w:iCs/>
                <w:sz w:val="24"/>
                <w:szCs w:val="24"/>
              </w:rPr>
              <w:lastRenderedPageBreak/>
              <w:t xml:space="preserve">sửa đổi, bổ sung VBQPPL quy định TTHC trong năm đánh giá: Năm 2023, UBND tỉnh Hưng Yên đã ban hành Kế hoạch rà soát, đánh giá TTHC (ban hành kèm theo Quyết định số 184/QĐ-UBND ngày 27/01/2023) và tổ chức triển khai thực hiện Kế hoạch một cách nghiêm túc, hiệu quả. Kết quả, đã thông qua 04 phương </w:t>
            </w:r>
            <w:proofErr w:type="gramStart"/>
            <w:r>
              <w:rPr>
                <w:iCs/>
                <w:sz w:val="24"/>
                <w:szCs w:val="24"/>
              </w:rPr>
              <w:t>án</w:t>
            </w:r>
            <w:proofErr w:type="gramEnd"/>
            <w:r>
              <w:rPr>
                <w:iCs/>
                <w:sz w:val="24"/>
                <w:szCs w:val="24"/>
              </w:rPr>
              <w:t xml:space="preserve"> đơn giản hóa TTHC với tổng số 06 TTHC được kiến nghị đơn giản hóa. Các phương án đơn giản hóa đều thuộc thẩm quyền quy định của các cơ quan nhà nước ở Trung ương, nên đã được gửi về các Bộ, ngành Trung ương xem xét theo quy định của pháp luật, cụ thể là:  - Quyết định số 1374/QĐ-UBND ngày 28/6/2023 thông qua phương án đơn giản hoá thủ tục hành chính thuộc phạm vi chức năng quản lý nhà nước của Sở Khoa học và Công nghệ; - Quyết định số 1610/QĐ-UBND ngày 01/8/2023 thông qua phương án đơn giản hoá thủ tục hành </w:t>
            </w:r>
            <w:r>
              <w:rPr>
                <w:iCs/>
                <w:sz w:val="24"/>
                <w:szCs w:val="24"/>
              </w:rPr>
              <w:lastRenderedPageBreak/>
              <w:t>chính trong lĩnh vực Đầu tư tại Việt nam thuộc thẩm quyền giải quyết của Ban Quản lý các khu công nghiệp tỉnh; - Quyết định số 1611/QĐ-UBND ngày 01/8/2023 thông qua phương án đơn giản hoá thủ tục hành chính thuộc phạm vi chức năng quản lý nhà nước của Sở Tài chính; - Quyết định số 1729/QĐ-UBND ngày 18/8/2023 thông qua phương án đơn giản hoá thủ tục hành chính trong lĩnh vực Đầu tư tại Việt nam thuộc phạm vi chức năng quản lý nhà nước của Sở Kế hoạch và Đầu tư. Tài liệu kiểm chứng:   - Báo cáo công tác kiểm soát TTHC, triển khai cơ chế một cửa, một cửa liên thông trong giải quyết TTHC và thực hiện TTHC trên môi trường điện tử năm 2022 (Bản Đề cương báo cáo và Biểu số II.04/VPCP/KSTT được kết xuất từ Hệ thống thông tin báo cáo của Văn phòng Chính phủ)</w:t>
            </w:r>
            <w:proofErr w:type="gramStart"/>
            <w:r>
              <w:rPr>
                <w:iCs/>
                <w:sz w:val="24"/>
                <w:szCs w:val="24"/>
              </w:rPr>
              <w:t>;  -</w:t>
            </w:r>
            <w:proofErr w:type="gramEnd"/>
            <w:r>
              <w:rPr>
                <w:iCs/>
                <w:sz w:val="24"/>
                <w:szCs w:val="24"/>
              </w:rPr>
              <w:t xml:space="preserve"> 04 Quyết định thông qua phương án đơn giản hoá TTHC của Chủ tịch UBND </w:t>
            </w:r>
            <w:r>
              <w:rPr>
                <w:iCs/>
                <w:sz w:val="24"/>
                <w:szCs w:val="24"/>
              </w:rPr>
              <w:lastRenderedPageBreak/>
              <w:t>tỉnh Hưng Yên.</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lastRenderedPageBreak/>
              <w:t>3.2</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Công bố, công khai TTHC và kết quả giải quyết hồ sơ</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3</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2,9947</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3.2.1</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Công bố TTHC, danh mục TTHC theo quy định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 Về công bố danh mục TTHC: Căn cứ các Quyết định công bố TTHC của Bộ trưởng, Thủ trưởng cơ quan ngang Bộ, Chủ tịch UBND tỉnh Hưng Yên đã ban hành 59 Quyết định công bố danh mục TTHC với tổng số 685 lượt TTHC được công bố mới/công bố sửa đổi, bổ sung hoặc thay thế/công bố bãi bỏ hoặc hủy bỏ thuộc thẩm quyền giải quyết của các cấp chính quyền trên địa bàn tỉnh. Việc công bố bảo đảm đầy đủ và kịp thời theo đúng quy định của pháp luật.  - Về công bố TTHC: Trong năm 2023, tỉnh Hưng Yên không ban hành TTHC nên không phải thực hiện việc công bố TTHC theo quy định.  Tài liệu kiểm chứng:   - Báo cáo công tác kiểm soát TTHC, triển khai cơ chế một cửa, một cửa liên thông trong </w:t>
            </w:r>
            <w:r>
              <w:rPr>
                <w:iCs/>
                <w:sz w:val="24"/>
                <w:szCs w:val="24"/>
              </w:rPr>
              <w:lastRenderedPageBreak/>
              <w:t>giải quyết TTHC và thực hiện TTHC trên môi trường điện tử năm 2023 (Bản Đề cương báo cáo và Biểu số II.03b/VPCP/KSTT được kết xuất từ Hệ thống thông tin báo cáo của Văn phòng Chính phủ)</w:t>
            </w:r>
            <w:proofErr w:type="gramStart"/>
            <w:r>
              <w:rPr>
                <w:iCs/>
                <w:sz w:val="24"/>
                <w:szCs w:val="24"/>
              </w:rPr>
              <w:t>;  -</w:t>
            </w:r>
            <w:proofErr w:type="gramEnd"/>
            <w:r>
              <w:rPr>
                <w:iCs/>
                <w:sz w:val="24"/>
                <w:szCs w:val="24"/>
              </w:rPr>
              <w:t xml:space="preserve"> 59 Quyết định công bố danh mục TTHC của Chủ tịch UBND tỉnh Hưng Yên.</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3.2.2</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Công khai TTHC và các quy định có liên quan</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1. Công khai TTHC đầy đủ, kịp thời trên Cổng DVC quốc gia: Các TTHC sau khi được Chủ tịch UBND tỉnh công bố đã được Văn phòng UBND tỉnh Hưng Yên tích hợp dữ liệu và nhập sửa đổi, bổ sung các thông tin liên quan đến thời gian, địa điểm thực hiện, phí, lệ phí và đăng tải công khai trên Cơ sở dữ liệu quốc gia về TTHC theo đúng quy định.  Tài liệu kiểm chứng:   - Báo cáo công tác kiểm soát TTHC, triển khai cơ chế một cửa, một cửa liên thông trong giải quyết TTHC và thực hiện TTHC trên môi trường điện tử năm 2023 </w:t>
            </w:r>
            <w:r>
              <w:rPr>
                <w:iCs/>
                <w:sz w:val="24"/>
                <w:szCs w:val="24"/>
              </w:rPr>
              <w:lastRenderedPageBreak/>
              <w:t>(Bản Đề cương báo cáo và Biểu số II.03b/VPCP/KSTT được kết xuất từ Hệ thống thông tin báo cáo của Văn phòng Chính phủ)</w:t>
            </w:r>
            <w:proofErr w:type="gramStart"/>
            <w:r>
              <w:rPr>
                <w:iCs/>
                <w:sz w:val="24"/>
                <w:szCs w:val="24"/>
              </w:rPr>
              <w:t>;  -</w:t>
            </w:r>
            <w:proofErr w:type="gramEnd"/>
            <w:r>
              <w:rPr>
                <w:iCs/>
                <w:sz w:val="24"/>
                <w:szCs w:val="24"/>
              </w:rPr>
              <w:t xml:space="preserve"> Dữ liệu TTHC đã được công khai trên Cơ sở dữ liệu quốc gia về TTHC.  2. Công khai TTHC đầy đủ, kịp thời trên Cổng DVC của tỉnh: Cổng dịch vụ công tỉnh và 100% các Cổng/Trang thông tin điện tử của các sở, ban, ngành tỉnh (có thẩm quyền tiếp nhận, giải quyết TTHC), UBND các huyện, thị xã, thành phố thuộc tỉnh (10/10 đơn vị cấp huyện) đã công khai đầy đủ, kịp thời các TTHC thuộc thẩm quyền giải quyết theo quy định của pháp luật (bằng việc thực hiện kết nối, tích hợp dữ liệu TTHC trên Cơ sở dữ liệu quốc gia về TTHC để công khai trên Cổng thông tin điện tử của UBND tỉnh, Cổng Dịch vụ công và Hệ thống thông tin một cửa điện tử tỉnh; 100%  các cơ quan, đơn vị có liên quan công khai đầy đủ, kịp thời TTHC thuộc thẩm </w:t>
            </w:r>
            <w:r>
              <w:rPr>
                <w:iCs/>
                <w:sz w:val="24"/>
                <w:szCs w:val="24"/>
              </w:rPr>
              <w:lastRenderedPageBreak/>
              <w:t xml:space="preserve">quyền giải quyết trên Cổng/Trang thông tin điện tử của đơn vị thông qua chức năng kết nối, tích hợp với Cổng Dịch vụ công và Hệ thống thông tin một cửa điện tử tỉnh; thực hiện nghiêm túc theo đúng quy định tại khoản 1 và khoản 2 Điều 23 Quyết định số 31/2021/QĐ-TTg ngày 11/10/2021 của Thủ tướng Chính phủ ban hành Quy chế quản lý, vận hành, khai thác Cổng Dịch vụ công quốc gia; không xây dựng, duy trì các chức năng cập nhật thông tin, dữ liệu TTHC trên Cổng/Trang thông tin điện tử của đơn vị).  Tài liệu kiểm chứng:  - Báo cáo công tác kiểm soát TTHC, triển khai cơ chế một cửa, một cửa liên thông trong giải quyết TTHC và thực hiện TTHC trên môi trường điện tử năm 2023 (Bản Đề cương báo cáo và Biểu số II.03b/VPCP/KSTT được kết xuất từ Hệ thống thông tin báo cáo của Văn phòng Chính phủ); - Báo cáo số 02/BC-STTTT ngày </w:t>
            </w:r>
            <w:r>
              <w:rPr>
                <w:iCs/>
                <w:sz w:val="24"/>
                <w:szCs w:val="24"/>
              </w:rPr>
              <w:lastRenderedPageBreak/>
              <w:t xml:space="preserve">02/01/2024 của Sở Thông tin và Truyền thông tỉnh Hưng Yên về kết quả phát triển chính quyền số, chuyển đổi số tỉnh Hưng Yên năm 2023.  - Thông báo kết luận kiểm tra của Đoàn kiểm tra cải cách hành chính năm 2023. - Dữ liệu trên Cổng dịch vụ công tỉnh Hưng Yên tại địa chỉ: https://dichvucong.hungyen.gov.vn và các Cổng/Trang thành viên. 3. Công khai TTHC đầy đủ, kịp thời tại Bộ phận Một cửa các cấp Qua thực hiện chế độ thông tin báo cáo cũng như qua theo dõi và kiểm tra thực tế trong năm 2023 của Văn phòng UBND tỉnh, 100% cơ quan chuyên môn cấp tỉnh, UBND cấp huyện (10/10 đơn vị cấp huyện) và UBND cấp xã (161/161 đơn vị cấp xã) đã thực hiện công khai TTHC đầy đủ, đúng quy định tại Bộ phận Tiếp nhận và Trả kết quả của cơ quan. Tài liệu kiểm chứng:   - Báo cáo công tác kiểm soát TTHC, triển khai cơ chế một cửa, một cửa liên thông trong </w:t>
            </w:r>
            <w:r>
              <w:rPr>
                <w:iCs/>
                <w:sz w:val="24"/>
                <w:szCs w:val="24"/>
              </w:rPr>
              <w:lastRenderedPageBreak/>
              <w:t>giải quyết TTHC và thực hiện TTHC trên môi trường điện tử năm 2023 (Bản Đề cương báo cáo và Biểu số II.03b/VPCP/KSTT được kết xuất từ Hệ thống thông tin báo cáo của Văn phòng Chính phủ)</w:t>
            </w:r>
            <w:proofErr w:type="gramStart"/>
            <w:r>
              <w:rPr>
                <w:iCs/>
                <w:sz w:val="24"/>
                <w:szCs w:val="24"/>
              </w:rPr>
              <w:t>;  -</w:t>
            </w:r>
            <w:proofErr w:type="gramEnd"/>
            <w:r>
              <w:rPr>
                <w:iCs/>
                <w:sz w:val="24"/>
                <w:szCs w:val="24"/>
              </w:rPr>
              <w:t xml:space="preserve"> Thông báo kết luận kiểm tra của Đoàn kiểm tra cải cách hành chính năm 2023.</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lastRenderedPageBreak/>
              <w:t>3.2.3</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Công khai tiến độ, kết quả giải quyết hồ sơ trên Hệ thống thông tin giải quyết TTHC</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0,9947</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3.3</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Thực hiện cơ chế một cửa, cơ chế một cửa liên thông</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3</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3</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3.3.1</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Tỷ lệ TTHC thực hiện việc tiếp nhận, trả kết quả tại Bộ phận Một cửa</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1. Tỷ lệ TTHC thực hiện việc tiếp nhận, trả kết quả tại Bộ phận Một cửa cấp tỉnh (Trung tâm Phục vụ hành chính công và Kiểm soát TTHC, Bộ phận Một cửa tại các cơ quan cấp tỉnh được UBND tỉnh cho phép không tiếp nhận hồ sơ tại Trung tâm, gồm Thanh tra tỉnh và Ban Quản lý các Khu công nghiệp tỉnh): 1.381/1.381 TTHC = 100%.  2. Tỷ lệ </w:t>
            </w:r>
            <w:r>
              <w:rPr>
                <w:iCs/>
                <w:sz w:val="24"/>
                <w:szCs w:val="24"/>
              </w:rPr>
              <w:lastRenderedPageBreak/>
              <w:t>TTHC thực hiện việc tiếp nhận, trả kết quả tại Bộ phận Một cửa cấp huyện: 255/255 TTHC = 100%.  3. Tỷ lệ TTHC thực hiện việc tiếp nhận, trả kết quả tại Bộ phận Một cửa cấp xã: 116/116 TTHC = 100%. Tài liệu kiểm chứng:   - Báo cáo công tác kiểm soát TTHC, triển khai cơ chế một cửa, một cửa liên thông trong giải quyết TTHC và thực hiện TTHC trên môi trường điện tử năm 2023 (Bản Đề cương báo cáo và các Biểu số II.06/VPCP/KSTT, Biểu số II.07b/VPCP/KSTT được kết xuất từ Hệ thống thông tin báo cáo của Văn phòng Chính phủ)</w:t>
            </w:r>
            <w:proofErr w:type="gramStart"/>
            <w:r>
              <w:rPr>
                <w:iCs/>
                <w:sz w:val="24"/>
                <w:szCs w:val="24"/>
              </w:rPr>
              <w:t>;  -</w:t>
            </w:r>
            <w:proofErr w:type="gramEnd"/>
            <w:r>
              <w:rPr>
                <w:iCs/>
                <w:sz w:val="24"/>
                <w:szCs w:val="24"/>
              </w:rPr>
              <w:t xml:space="preserve"> Thông báo kết luận kiểm tra của Đoàn kiểm tra cải cách hành chính năm 2023.</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3.3.2</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Đưa TTHC ngành dọc thực hiện việc tiếp nhận hồ sơ tại Bộ phận Một cửa các cấp theo danh mục được phê duyệt</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UBND tỉnh Hưng Yên đã chỉ đạo, tổ chức thực hiện đầy đủ việc đưa các TTHC ngành dọc thực hiện việc tiếp nhận hồ sơ tại Bộ phận Một cửa các cấp theo danh mục được phê duyệt </w:t>
            </w:r>
            <w:r>
              <w:rPr>
                <w:iCs/>
                <w:sz w:val="24"/>
                <w:szCs w:val="24"/>
              </w:rPr>
              <w:lastRenderedPageBreak/>
              <w:t xml:space="preserve">tại Quyết định số 1291/QĐ-TTg ngày 07/10/2019 của Thủ tướng Chính phủ. Số lượng TTHC ngành dọc thực hiện việc tiếp nhận hồ sơ tại Bộ phận Một cửa các cấp theo danh mục được Thủ tướng Chính phủ phê duyệt đạt 36/36 thủ tục = 100% (23 TTHC đã thực hiện từ năm 2020 gồm 14 TTHC của ngành Quốc phòng và 9 TTHC của ngành Bảo hiểm xã hội; còn 13 TTHC của ngành Công an đã thực hiện từ ngày 11/10/2021).  Ngày 05/7/2022, Công an tỉnh đã có Văn bản số 1831/TTr-CAT-PV01 về việc báo cáo xin phép Chủ tịch UBND tỉnh Hưng Yên cho dừng tiếp nhận một số TTHC thuộc thẩm quyền giải quyết của Công an tỉnh tại Trung tâm Phục vụ hành chính công và Kiểm soát TTHC tỉnh, xong không được UBND tỉnh chấp thuận. Theo Công văn số 1952/UBND-PVHCC&amp;KSTT ngày 29/7/2022 của UBND tỉnh Hưng Yên, đã yêu cầu Công </w:t>
            </w:r>
            <w:proofErr w:type="gramStart"/>
            <w:r>
              <w:rPr>
                <w:iCs/>
                <w:sz w:val="24"/>
                <w:szCs w:val="24"/>
              </w:rPr>
              <w:t>an</w:t>
            </w:r>
            <w:proofErr w:type="gramEnd"/>
            <w:r>
              <w:rPr>
                <w:iCs/>
                <w:sz w:val="24"/>
                <w:szCs w:val="24"/>
              </w:rPr>
              <w:t xml:space="preserve"> tỉnh tiếp tục thực hiện </w:t>
            </w:r>
            <w:r>
              <w:rPr>
                <w:iCs/>
                <w:sz w:val="24"/>
                <w:szCs w:val="24"/>
              </w:rPr>
              <w:lastRenderedPageBreak/>
              <w:t>nghiêm Quyết định số 1291/QĐ-TTg ngày 07/10/2019 của Thủ tướng Chính phủ.  Tài liệu kiểm chứng:   - Báo cáo công tác kiểm soát TTHC, triển khai cơ chế một cửa, một cửa liên thông trong giải quyết TTHC và thực hiện TTHC trên môi trường điện tử năm 2023 (Bản Đề cương báo cáo được kết xuất từ Hệ thống thông tin báo cáo của Văn phòng Chính phủ)</w:t>
            </w:r>
            <w:proofErr w:type="gramStart"/>
            <w:r>
              <w:rPr>
                <w:iCs/>
                <w:sz w:val="24"/>
                <w:szCs w:val="24"/>
              </w:rPr>
              <w:t>;  -</w:t>
            </w:r>
            <w:proofErr w:type="gramEnd"/>
            <w:r>
              <w:rPr>
                <w:iCs/>
                <w:sz w:val="24"/>
                <w:szCs w:val="24"/>
              </w:rPr>
              <w:t xml:space="preserve"> Văn bản số 1831/TTr-CAT-PV01 ngày 05/7/2022 của Công an tỉnh Hưng Yên.  - Công văn số 1952/UBND-PVHCC&amp;KSTT ngày 29/7/2022 của UBND tỉnh Hưng Yên.  - Các Báo cáo, văn bản chỉ đạo, điều hành, đôn đốc, hướng dẫn thể hiện việc đưa các TTHC ngành dọc ra tiếp nhận tại Bộ phận Một cửa các cấp trên địa bàn tỉnh Hưng Yên.</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lastRenderedPageBreak/>
              <w:t>3.3.3</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 xml:space="preserve">Số TTHC hoặc nhóm TTHC được giải quyết theo hình thức </w:t>
            </w:r>
            <w:r w:rsidRPr="00AF1A7B">
              <w:rPr>
                <w:bCs/>
                <w:sz w:val="24"/>
                <w:szCs w:val="24"/>
              </w:rPr>
              <w:lastRenderedPageBreak/>
              <w:t>liên thông cùng cấp</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lastRenderedPageBreak/>
              <w:t>0,75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0,75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Đã thực hiện được 77 TTHC/nhóm TTHC theo hình </w:t>
            </w:r>
            <w:r>
              <w:rPr>
                <w:iCs/>
                <w:sz w:val="24"/>
                <w:szCs w:val="24"/>
              </w:rPr>
              <w:lastRenderedPageBreak/>
              <w:t>thức liên thông cùng cấp. Tài liệu kiểm chứng: Danh sách 77 TTHC/nhóm TTHC được giải quyết theo hình thức liên thông cùng cấp theo yêu cầu của tiêu chí thành phần này.</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3.3.4</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Số TTHC hoặc nhóm TTHC được giải quyết theo hình thức liên thông giữa các cấp chính quyền</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0,75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0,75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Đã thực hiện được 52 TTHC/nhóm TTHC theo hình thức liên thông giữa các cấp chính quyền. Tài liệu kiểm chứng: Danh sách 52 TTHC/nhóm TTHC được giải quyết theo hình thức liên thông giữa các cấp chính quyền theo yêu cầu của tiêu chí thành phần này.</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3.4</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Kết quả giải quyết hồ sơ TTHC</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4,9941</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3.4.1</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Tỷ lệ hồ sơ TTHC do CQCM cấp tỉnh tiếp nhận trong năm được giải quyết đúng hạn</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1,4976</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Kết quả giải quyết hồ sơ TTHC do CQCM cấ3p tỉnh tiếp nhận trong năm 2023 như sau:  - a (là tổng số hồ sơ TTHC đã giải quyết trong năm) = 97.382 hồ sơ; - b (là số hồ sơ TTHC đã giải quyết đúng hạn) = 97.232 hồ sơ. Tỷ lệ hồ sơ TTHC trong năm được giải quyết đúng </w:t>
            </w:r>
            <w:r>
              <w:rPr>
                <w:iCs/>
                <w:sz w:val="24"/>
                <w:szCs w:val="24"/>
              </w:rPr>
              <w:lastRenderedPageBreak/>
              <w:t>hạn/tổng số hồ sơ đã được giải quyết = 97.232/97.382 = 0.9984 (99.84%). Tỷ lệ này lớn hơn 0</w:t>
            </w:r>
            <w:proofErr w:type="gramStart"/>
            <w:r>
              <w:rPr>
                <w:iCs/>
                <w:sz w:val="24"/>
                <w:szCs w:val="24"/>
              </w:rPr>
              <w:t>,95</w:t>
            </w:r>
            <w:proofErr w:type="gramEnd"/>
            <w:r>
              <w:rPr>
                <w:iCs/>
                <w:sz w:val="24"/>
                <w:szCs w:val="24"/>
              </w:rPr>
              <w:t xml:space="preserve"> nên điểm đánh giá được tính theo công thức: (97.232/97.382)*1,5=1,4976 điểm.  Tài liệu kiểm chứng: Báo cáo công tác kiểm soát TTHC, triển khai cơ chế một cửa, một cửa liên thông trong giải quyết TTHC và thực hiện TTHC trên môi trường điện tử năm 2023 (Bản Đề cương báo cáo và Biểu số II.06/VPCP/KSTT được kết xuất từ Hệ thống thông tin báo cáo của Văn phòng Chính phủ).</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3.4.2</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Tỷ lệ hồ sơ TTHC do UBND cấp huyện tiếp nhận trong năm được giải quyết đúng hạn</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1,4968</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Kết quả giải quyết hồ sơ TTHC do UBND cấp huyện trên địa bàn tỉnh tiếp nhận trong năm 2023 như sau:  - a (là tổng số hồ sơ TTHC đã giải quyết trong năm) = 68.518 hồ sơ; - b (là số hồ sơ TTHC đã giải quyết đúng hạn) = 68.374 hồ sơ. Tỷ lệ hồ sơ TTHC trong năm được giải quyết đúng </w:t>
            </w:r>
            <w:r>
              <w:rPr>
                <w:iCs/>
                <w:sz w:val="24"/>
                <w:szCs w:val="24"/>
              </w:rPr>
              <w:lastRenderedPageBreak/>
              <w:t>hạn/tổng số hồ sơ đã được giải quyết = 68.518/68.374 = 0.9979 (99.79%). Tỷ lệ này lớn hơn 0</w:t>
            </w:r>
            <w:proofErr w:type="gramStart"/>
            <w:r>
              <w:rPr>
                <w:iCs/>
                <w:sz w:val="24"/>
                <w:szCs w:val="24"/>
              </w:rPr>
              <w:t>,95</w:t>
            </w:r>
            <w:proofErr w:type="gramEnd"/>
            <w:r>
              <w:rPr>
                <w:iCs/>
                <w:sz w:val="24"/>
                <w:szCs w:val="24"/>
              </w:rPr>
              <w:t xml:space="preserve"> nên điểm đánh giá được tính theo công thức: (68.518/68.374)*1,5=1,4968 điểm.  Tài liệu kiểm chứng: Báo cáo công tác kiểm soát TTHC, triển khai cơ chế một cửa, một cửa liên thông trong giải quyết TTHC và thực hiện TTHC trên môi trường điện tử năm 2023 (Bản Đề cương báo cáo và Biểu số II.06/VPCP/KSTT được kết xuất từ Hệ thống thông tin báo cáo của Văn phòng Chính phủ).</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3.4.3</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Tỷ lệ hồ sơ TTHC do UBND cấp xã tiếp nhận trong năm được giải quyết đúng hạn</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0,9997</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Kết quả giải quyết hồ sơ TTHC do UBND cấp xã trên địa bàn tỉnh tiếp nhận trong năm 2023 như sau:  - a (là tổng số hồ sơ TTHC đã giải quyết trong năm) = 331.108 hồ sơ</w:t>
            </w:r>
            <w:proofErr w:type="gramStart"/>
            <w:r>
              <w:rPr>
                <w:iCs/>
                <w:sz w:val="24"/>
                <w:szCs w:val="24"/>
              </w:rPr>
              <w:t>;  -</w:t>
            </w:r>
            <w:proofErr w:type="gramEnd"/>
            <w:r>
              <w:rPr>
                <w:iCs/>
                <w:sz w:val="24"/>
                <w:szCs w:val="24"/>
              </w:rPr>
              <w:t xml:space="preserve"> b (là số hồ sơ TTHC đã giải quyết đúng hạn) = 331.025 hồ sơ. Tỷ lệ hồ sơ TTHC trong năm được giải quyết đúng hạn/tổng số hồ </w:t>
            </w:r>
            <w:r>
              <w:rPr>
                <w:iCs/>
                <w:sz w:val="24"/>
                <w:szCs w:val="24"/>
              </w:rPr>
              <w:lastRenderedPageBreak/>
              <w:t>sơ đã được giải quyết = 331.025/331.108=0.9997 (99.97%). Tỷ lệ này lớn hơn 0</w:t>
            </w:r>
            <w:proofErr w:type="gramStart"/>
            <w:r>
              <w:rPr>
                <w:iCs/>
                <w:sz w:val="24"/>
                <w:szCs w:val="24"/>
              </w:rPr>
              <w:t>,95</w:t>
            </w:r>
            <w:proofErr w:type="gramEnd"/>
            <w:r>
              <w:rPr>
                <w:iCs/>
                <w:sz w:val="24"/>
                <w:szCs w:val="24"/>
              </w:rPr>
              <w:t xml:space="preserve"> nên điểm đánh giá được tính theo công thức: (331.025/331.108)*1=0,9997 điểm.  Tài liệu kiểm chứng: Báo cáo công tác kiểm soát TTHC, triển khai cơ chế một cửa, một cửa liên thông trong giải quyết TTHC và thực hiện TTHC trên môi trường điện tử năm 2023 (Bản Đề cương báo cáo và Biểu số II.06/VPCP/KSTT được kết xuất từ Hệ thống thông tin báo cáo của Văn phòng Chính phủ).</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3.4.4</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Thực hiện việc xin lỗi người dân, tổ chức khi để xảy ra trễ hẹn trong giải quyết hồ sơ TTHC</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0,25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0,25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Trong năm 2023, các cơ quan trên địa bàn tỉnh đã giải quyết trễ hạn 377 hồ sơ (150 hồ sơ ở cấp tỉnh, 144 hồ sơ ở cấp huyện và 83 hồ sơ ở cấp xã) và đã thực hiện trách nhiệm xin lỗi người dân, tổ chức đầy đủ, đúng quy định.  Tài liệu kiểm chứng:   - Báo cáo công tác kiểm soát TTHC, triển khai cơ </w:t>
            </w:r>
            <w:r>
              <w:rPr>
                <w:iCs/>
                <w:sz w:val="24"/>
                <w:szCs w:val="24"/>
              </w:rPr>
              <w:lastRenderedPageBreak/>
              <w:t>chế một cửa, một cửa liên thông trong giải quyết TTHC và thực hiện TTHC trên môi trường điện tử năm 2023 (Bản Đề cương báo cáo và Biểu số II.06/VPCP/KSTT được kết xuất từ Hệ thống thông tin báo cáo của Văn phòng Chính phủ)</w:t>
            </w:r>
            <w:proofErr w:type="gramStart"/>
            <w:r>
              <w:rPr>
                <w:iCs/>
                <w:sz w:val="24"/>
                <w:szCs w:val="24"/>
              </w:rPr>
              <w:t>;  -</w:t>
            </w:r>
            <w:proofErr w:type="gramEnd"/>
            <w:r>
              <w:rPr>
                <w:iCs/>
                <w:sz w:val="24"/>
                <w:szCs w:val="24"/>
              </w:rPr>
              <w:t xml:space="preserve"> 377 Phiếu xin lỗi cá nhân, tổ chức.</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3.4.5</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Đánh giá chất lượng giải quyết TTHC của địa phương</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0,75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0,75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Căn cứ kết quả theo dõi trên trang https://quantri.dichvucong.gov.vn, Tỉnh Hưng Yên có:  - 13/16 CQCM cấp tỉnh đạt điểm đánh giá từ tốt trở lên, tương ứng 81</w:t>
            </w:r>
            <w:proofErr w:type="gramStart"/>
            <w:r>
              <w:rPr>
                <w:iCs/>
                <w:sz w:val="24"/>
                <w:szCs w:val="24"/>
              </w:rPr>
              <w:t>,25</w:t>
            </w:r>
            <w:proofErr w:type="gramEnd"/>
            <w:r>
              <w:rPr>
                <w:iCs/>
                <w:sz w:val="24"/>
                <w:szCs w:val="24"/>
              </w:rPr>
              <w:t>%. Do đó, điểm đánh giá là 0</w:t>
            </w:r>
            <w:proofErr w:type="gramStart"/>
            <w:r>
              <w:rPr>
                <w:iCs/>
                <w:sz w:val="24"/>
                <w:szCs w:val="24"/>
              </w:rPr>
              <w:t>,25</w:t>
            </w:r>
            <w:proofErr w:type="gramEnd"/>
            <w:r>
              <w:rPr>
                <w:iCs/>
                <w:sz w:val="24"/>
                <w:szCs w:val="24"/>
              </w:rPr>
              <w:t xml:space="preserve"> điểm.  - 10/10 UBND cấp huyện đạt điểm đánh giá từ tốt trở lên, tương ứng 100%. Do đó, điểm đánh giá là 0.25 điểm.  - 161/161 UBND cấp xã đạt điểm đánh giá từ tốt trở lên, tương ứng 100%. Do đó, điểm đánh giá là 0.25 điểm.  Tài liệu kiểm chứng: Căn cứ kết quả theo dõi trên trang https://</w:t>
            </w:r>
            <w:proofErr w:type="gramStart"/>
            <w:r>
              <w:rPr>
                <w:iCs/>
                <w:sz w:val="24"/>
                <w:szCs w:val="24"/>
              </w:rPr>
              <w:t>quantri.dichvucong.gov.</w:t>
            </w:r>
            <w:r>
              <w:rPr>
                <w:iCs/>
                <w:sz w:val="24"/>
                <w:szCs w:val="24"/>
              </w:rPr>
              <w:lastRenderedPageBreak/>
              <w:t>vn  (</w:t>
            </w:r>
            <w:proofErr w:type="gramEnd"/>
            <w:r>
              <w:rPr>
                <w:iCs/>
                <w:sz w:val="24"/>
                <w:szCs w:val="24"/>
              </w:rPr>
              <w:t>Xin gửi minh họa một số hình ảnh chụp danh sách thống kê kết quả đánh giá cấp sở, cấp huyện trên Cổng dịch vụ công quốc gia. Đối với cấp xã hiện Cổng Dịch vụ công quốc gia chưa cho danh sách thống kê toàn bộ các xã mà chỉ cho soi từng xã để xem kết quả).</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3.5</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Tiếp nhận, xử lý phản ánh, kiến nghị (PAKN) của cá nhân, tổ chức đối với TTHC thuộc thẩm quyền giải quyết của tỉnh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3.5.1</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Xử lý PAKN của cá nhân, tổ chức đối với TTHC thuộc thẩm quyền giải quyết của tỉnh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0,75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0,75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Trong năm 2023, tỉnh Hưng Yên đã tiếp nhận 11 phản ánh, kiến nghị của cá nhân, tổ chức về quy định hành chính, trong đó có 10 PAKN được tiếp nhận trên Hệ thống thông tin tiếp nhận phản ánh, kiến nghị của Chính phủ (https://pakn.dichvucong.gov.vn) và 01 PAKN tiếp nhận trực tiếp. Tất cả các PAKN trên đều đã được xử lý theo đúng quy định của pháp luật, cụ thể như sau: - 01 phản ánh, kiến nghị </w:t>
            </w:r>
            <w:r>
              <w:rPr>
                <w:iCs/>
                <w:sz w:val="24"/>
                <w:szCs w:val="24"/>
              </w:rPr>
              <w:lastRenderedPageBreak/>
              <w:t xml:space="preserve">của công dân Nguyễn Văn Đức MS: PAKN.20230424.0074 Kết quả xử lý: qua kiểm tra, xác minh thông tin PAKN có mã số: PAKN.20230424.0074 của Công dân Nguyễn Văn Đức về việc chưa được giải quyết hưởng trợ cấp thất nghiệp, kết quả cho thấy hồ sơ mã số: G22.99-230329-0500918 của Công dân Nguyễn Văn Đức đã được xử lý và có kết quả vào ngày 20/4/2023, kết quả giải quyết hồ sơ đã được xử lý, cập nhật trên hệ thống và gửi cho công dân vào ngày 26/4/2023 (sớm hơn so với thời hạn quy định). Căn cứ kết quả xác minh, kiểm tra nói trên, UBND tỉnh xác định thông tin phản ánh, kiến nghị của Công dân Nguyễn Văn Đức là không chính xác, không có căn cứ để xử lý và đã thông báo tới Công dân Nguyễn Văn Đức (gửi kèm Quyết định số 2359/QĐ-SLĐTBXH-TN ngày 20/4/2023 của Giám đốc Sở Lao động - Thương binh và Xã hội về việc hưởng trợ cấp thất </w:t>
            </w:r>
            <w:r>
              <w:rPr>
                <w:iCs/>
                <w:sz w:val="24"/>
                <w:szCs w:val="24"/>
              </w:rPr>
              <w:lastRenderedPageBreak/>
              <w:t xml:space="preserve">nghiệp). - 01 phản ánh, kiến nghị của công dân Vũ Thị Quỳnh Anh. MS: PAKN.20230518.0145 (trực tiếp) Kết quả xử lý: Công văn số 796/SYT-TTr ngày 25/5/2023 của Sở Y tế Báo cáo kết quả kiểm tra, xác minh, phản ánh, kiến nghị của công dân. - 01 phản ánh, kiến nghị của công dân Nguyễn Hữu Thuận MS: PAKN.20230506.0062 Kết quả xử lý: Báo cáo số 227/BC-UBND ngày 06/6/2023 của UBND thị xã Mỹ Hào. - 01 phản ánh, kiến nghị của công dân Bùi Thị Minh Nguyệt MS: PAKN.20221112.0006 Kết quả xử lý: Báo cáo số 227/BC-UBND ngày 06/6/2023 của UBND thị xã Mỹ Hào. - 01 phản ánh, kiến nghị của công dân Phạm Văn Ngọc MS: PAKN.20230706.0046 Kết quả xử lý: Công chức tiếp nhận trả lời trực tiếp, Hồ sơ không có trên hệ thống, ông Phạm Văn Ngọc đã được cấp phiếu lý lịch tư pháp số 01 theo hồ sơ </w:t>
            </w:r>
            <w:r>
              <w:rPr>
                <w:iCs/>
                <w:sz w:val="24"/>
                <w:szCs w:val="24"/>
              </w:rPr>
              <w:lastRenderedPageBreak/>
              <w:t>000.00.17.H31-230804-0017. - 01 phản ánh, kiến nghị của công dân Đỗ Hữu Tiệp MS: PAKN.20230811.0145 Kết quả xử lý: Công văn số 2540/SGTVT-DT&amp;SH ngày 28/8/2023 của Sở Giao thông vận tải về việc trả lời phản ánh, kiến nghị của công dân trên Cổng Dịch vụ công Quốc gia. - 01 phản ánh, kiến nghị của công dân Lưu Thị Khánh Huyền MS: PAKN.20230817.0157 Kết quả xử lý: Công văn số 1028/STP-VP ngày 30/8/2023 của Sở Tư pháp về việc trả lời phản ánh, kiến nghị của công dân. - 01 phản ánh, kiến nghị của công dân Phạm Đức Cảnh MS: PAKN.20230908.0128 Kết quả xử lý: Công văn số 2264/STNMT-ĐK</w:t>
            </w:r>
            <w:proofErr w:type="gramStart"/>
            <w:r>
              <w:rPr>
                <w:iCs/>
                <w:sz w:val="24"/>
                <w:szCs w:val="24"/>
              </w:rPr>
              <w:t>,CGCN</w:t>
            </w:r>
            <w:proofErr w:type="gramEnd"/>
            <w:r>
              <w:rPr>
                <w:iCs/>
                <w:sz w:val="24"/>
                <w:szCs w:val="24"/>
              </w:rPr>
              <w:t xml:space="preserve"> ngày 02/10/2023 của Sở Tài Nguyên và Môi trường về việc trả lời phản ánh, kiến nghị của công dân trên Cổng Dịch vụ công Quốc gia. - 01 phản ánh, kiến nghị của công dân Lương Hồng Nhật MS: </w:t>
            </w:r>
            <w:r>
              <w:rPr>
                <w:iCs/>
                <w:sz w:val="24"/>
                <w:szCs w:val="24"/>
              </w:rPr>
              <w:lastRenderedPageBreak/>
              <w:t xml:space="preserve">PAKN.20231009.0164 Kết quả xử lý: Công chức tiếp nhận phản ánh kiến nghị đã kiểm tra và trả lời trực tiếp cho công dân. Hồ sơ của công dân đã được xử lý và trả kết quả theo quy định của pháp luật nhưng công dân chưa kịp thời cập nhật nên có sự nhầm lẫn trong phản ánh kiến nghị. - 01 phản ánh, kiến nghị của công dân Nguyễn Thị Khánh Linh MS: PAKN.20231007.0039 Kết quả xử lý: Báo cáo số 239/BC-SYT ngày 14/12/2023 của Sở Y tế Báo cáo giải trình về phản ánh, kiến nghị của công dân trên Cổng Dịch vụ công Quốc gia. - 01 phản ánh, kiến nghị của công dân Vũ Thanh Bình MS: PAKN.20231105.0015 Kết quả xử lý: Báo cáo số 07/BC-UBND ngày 04/01/2024 của UBND huyện Khoái Châu. Tài liệu kiểm chứng:  - Báo cáo công tác kiểm soát TTHC, triển khai cơ chế một cửa, một cửa liên thông trong giải quyết TTHC và thực hiện TTHC trên môi trường điện tử năm 2023 </w:t>
            </w:r>
            <w:r>
              <w:rPr>
                <w:iCs/>
                <w:sz w:val="24"/>
                <w:szCs w:val="24"/>
              </w:rPr>
              <w:lastRenderedPageBreak/>
              <w:t>(Bản Đề cương báo cáo và Biểu số II.05a/VPCP/KSTT được kết xuất từ Hệ thống thông tin báo cáo của Văn phòng Chính phủ); - Các kết quả xử lý phản ánh, kiến nghị (theo danh sách liệt kê ở trên).</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lastRenderedPageBreak/>
              <w:t>3.5.2</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Công khai kết quả trả lời PAKN của cá nhân, tổ chức đối với quy định TTHC thuộc thẩm quyền của tỉnh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0,25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0,25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11/11= 100% kết quả xử lý các PAKN nêu trên đều được tỉnh Hưng Yên công khai đầy đủ trên Hệ thống thông tin tiếp nhận phản ánh, kiến nghị của Chính phủ theo đúng quy định tại địa chỉ: https://pakn.dichvucong.gov.vn.  Tài liệu kiểm chứng:   - Báo cáo công tác kiểm soát TTHC, triển khai cơ chế một cửa, một cửa liên thông trong giải quyết TTHC và thực hiện TTHC trên môi trường điện tử năm 2022 (Bản Đề cương báo cáo và Biểu số II.05a/VPCP/KSTT được kết xuất từ Hệ thống thông tin báo cáo của Văn phòng Chính phủ)</w:t>
            </w:r>
            <w:proofErr w:type="gramStart"/>
            <w:r>
              <w:rPr>
                <w:iCs/>
                <w:sz w:val="24"/>
                <w:szCs w:val="24"/>
              </w:rPr>
              <w:t>;  -</w:t>
            </w:r>
            <w:proofErr w:type="gramEnd"/>
            <w:r>
              <w:rPr>
                <w:iCs/>
                <w:sz w:val="24"/>
                <w:szCs w:val="24"/>
              </w:rPr>
              <w:t xml:space="preserve"> Kết quả công khai tại địa chỉ: https://pakn.dichvucong.gov.vn</w:t>
            </w:r>
            <w:r>
              <w:rPr>
                <w:iCs/>
                <w:sz w:val="24"/>
                <w:szCs w:val="24"/>
              </w:rPr>
              <w:lastRenderedPageBreak/>
              <w:t>.</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C60D51" w:rsidTr="00BE635C">
        <w:trPr>
          <w:gridAfter w:val="1"/>
          <w:wAfter w:w="11" w:type="dxa"/>
          <w:jc w:val="center"/>
        </w:trPr>
        <w:tc>
          <w:tcPr>
            <w:tcW w:w="765" w:type="dxa"/>
            <w:shd w:val="clear" w:color="auto" w:fill="auto"/>
            <w:hideMark/>
          </w:tcPr>
          <w:p w:rsidR="00BE635C" w:rsidRPr="00C60D51" w:rsidRDefault="00BE635C" w:rsidP="0093047A">
            <w:pPr>
              <w:widowControl w:val="0"/>
              <w:spacing w:before="120" w:after="120" w:line="288" w:lineRule="auto"/>
              <w:rPr>
                <w:b/>
                <w:bCs/>
                <w:sz w:val="24"/>
                <w:szCs w:val="24"/>
              </w:rPr>
            </w:pPr>
            <w:r w:rsidRPr="00C60D51">
              <w:rPr>
                <w:b/>
                <w:bCs/>
                <w:sz w:val="24"/>
                <w:szCs w:val="24"/>
              </w:rPr>
              <w:t>7</w:t>
            </w:r>
          </w:p>
        </w:tc>
        <w:tc>
          <w:tcPr>
            <w:tcW w:w="3458" w:type="dxa"/>
            <w:shd w:val="clear" w:color="auto" w:fill="auto"/>
            <w:hideMark/>
          </w:tcPr>
          <w:p w:rsidR="00BE635C" w:rsidRPr="00C60D51" w:rsidRDefault="00BE635C" w:rsidP="0093047A">
            <w:pPr>
              <w:widowControl w:val="0"/>
              <w:spacing w:before="120" w:after="120" w:line="288" w:lineRule="auto"/>
              <w:rPr>
                <w:b/>
                <w:bCs/>
                <w:sz w:val="24"/>
                <w:szCs w:val="24"/>
              </w:rPr>
            </w:pPr>
            <w:r w:rsidRPr="00C60D51">
              <w:rPr>
                <w:b/>
                <w:bCs/>
                <w:sz w:val="24"/>
                <w:szCs w:val="24"/>
              </w:rPr>
              <w:t>XÂY DỰNG VÀ PHÁT TRIỂN CHÍNH QUYỀN ĐIỆN, CHÍNH QUYỀN SỐ</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10</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8,095</w:t>
            </w:r>
          </w:p>
        </w:tc>
        <w:tc>
          <w:tcPr>
            <w:tcW w:w="3261" w:type="dxa"/>
            <w:shd w:val="clear" w:color="auto" w:fill="auto"/>
            <w:hideMark/>
          </w:tcPr>
          <w:p w:rsidR="00BE635C" w:rsidRPr="00C60D51" w:rsidRDefault="00BE635C" w:rsidP="0093047A">
            <w:pPr>
              <w:widowControl w:val="0"/>
              <w:spacing w:before="120" w:after="120" w:line="288" w:lineRule="auto"/>
              <w:rPr>
                <w:b/>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Pr="00C60D51" w:rsidRDefault="00BE635C" w:rsidP="0093047A">
            <w:pPr>
              <w:widowControl w:val="0"/>
              <w:spacing w:before="120" w:after="120" w:line="288" w:lineRule="auto"/>
              <w:rPr>
                <w:b/>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7.2</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Phát triển các ứng dụng, dịch vụ trong nội bộ cơ quan nhà nước</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3</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3</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7.2.1</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Tỷ lệ xử lý văn bản, hồ sơ công việc trên môi trường mạng tại tỉnh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Điểm 5 Mục I của Báo cáo gửi kèm: Tỉ lệ văn bản đi/đến được chuyển hoàn toàn điện tử trên môi trường mạng giữa các các cơ quan nhà nước đạt khoảng 99%......</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7.2.2</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 xml:space="preserve"> Tỷ lệ gửi, nhận văn bản điện tử 4 cấp chính quyền</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Điểm 5 Mục I của Báo cáo gửi kèm: 100% các cơ quan hành chính nhà nước từ cấp tỉnh đến cấp xã sử dụng phần mềm quản lý văn bản và điều hành. Hệ thống được kết nối liên thông 4 cấp từ cấp xã đến cấp Trung </w:t>
            </w:r>
            <w:proofErr w:type="gramStart"/>
            <w:r>
              <w:rPr>
                <w:iCs/>
                <w:sz w:val="24"/>
                <w:szCs w:val="24"/>
              </w:rPr>
              <w:t>ương,.......</w:t>
            </w:r>
            <w:proofErr w:type="gramEnd"/>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7.2.3</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Xây dựng, vận hành Hệ thống thông tin báo cáo cấp tỉnh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lastRenderedPageBreak/>
              <w:t>7.3</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 xml:space="preserve">Phát triển ứng dụng, dịch vụ phục vụ người dân, tổ chức </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7</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5,095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7.3.1</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Cổng thông tin điện tử đáp ứng yêu cầu chức năng, tính năng kỹ thuật theo quy định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Cổng thông tin điện tử tỉnh Hưng Yên đã đáp ứng yêu cầu chức năng, tính năng kỹ thuật theo Nghị định số 42/2022/NĐ-CP của Chính phủ và đã thực hiện chuyển đổi sang công nghệ IPv6.  Tài liệu kiểm chứng:  - Báo cáo số 178/BC-BCSĐ ngày 13/6/2023 của Ban Cán sự đảng UBND tỉnh Hưng Yên sơ kết thực hiện chương trình chuyển đổi số tỉnh Hưng Yên giai đoạn 2021-2025, tầm nhìn đến năm 2030. - Văn bản số 224/VPUB-TTHN ngày 16/6/2023 của Văn phòng UBND tỉnh Hưng Yên về việc cung cấp tài liệu kiểm chứng Cổng thông tin điện tử đáp ứng Nghị định số 42/2022/NĐ-CP của Chính phủ; - Quyết định số 145/QĐ-STTTT ngày 16/11/2023 của Sở Thông tin và Tryền thông tỉnh Hưng Yên về việc phê duyệt cấp độ và phương án an toàn hệ thống thông tin đối với </w:t>
            </w:r>
            <w:r>
              <w:rPr>
                <w:iCs/>
                <w:sz w:val="24"/>
                <w:szCs w:val="24"/>
              </w:rPr>
              <w:lastRenderedPageBreak/>
              <w:t>Hệ thống Cổng thông tin điện tử tỉnh Hưng Yên; - Báo cáo số 02/BC-STTTT ngày 02/01/2024 của Sở Thông tin và Truyền thông tỉnh Hưng Yên về kết quả phát triển chính quyền số, chuyển đổi số tỉnh Hưng Yên năm 2023. - Cung cấp ảnh chụp màn hình máy tính thể hiện đã cài xong chuyển đổi IPV6</w:t>
            </w:r>
            <w:proofErr w:type="gramStart"/>
            <w:r>
              <w:rPr>
                <w:iCs/>
                <w:sz w:val="24"/>
                <w:szCs w:val="24"/>
              </w:rPr>
              <w:t>;  -</w:t>
            </w:r>
            <w:proofErr w:type="gramEnd"/>
            <w:r>
              <w:rPr>
                <w:iCs/>
                <w:sz w:val="24"/>
                <w:szCs w:val="24"/>
              </w:rPr>
              <w:t xml:space="preserve"> Kiểm tra trực tiếp tại Cổng thông tin điện tử tỉnh Hưng Yên. (https://hungyen.gov.vn)</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7.3.2</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Chất lượng cung cấp thông tin trên Cổng thông tin điện tử của tỉnh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7.3.3</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Thiết lập, vận hành Hệ thống thông tin giải quyết TTHC</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Tỉnh Hưng Yên đã thiết lập, vận hành Hệ thống thông tin giải quyết TTHC trên cơ sở Cổng DVC và Hệ thống thông tin một cửa điện tử và có đầy đủ tính năng theo quy định. Tài liệu kiểm chứng: - Quyết định số 1231/QĐ-UBND ngày 28/5/2021 của UBND tỉnh về phê duyệt Kế hoạch thuê dịch </w:t>
            </w:r>
            <w:r>
              <w:rPr>
                <w:iCs/>
                <w:sz w:val="24"/>
                <w:szCs w:val="24"/>
              </w:rPr>
              <w:lastRenderedPageBreak/>
              <w:t>vụ CNTT Phần mềm Cổng Dịch vụ công và HTTT một cửa điện tử tỉnh Hưng Yên giai đoạn 2021-2024; - Liên kết đến Hệ thống thông tin giải quyết TTHC tỉnh Hưng Yên: https://</w:t>
            </w:r>
            <w:proofErr w:type="gramStart"/>
            <w:r>
              <w:rPr>
                <w:iCs/>
                <w:sz w:val="24"/>
                <w:szCs w:val="24"/>
              </w:rPr>
              <w:t>dichvucong.hungyen.gov.vn  và</w:t>
            </w:r>
            <w:proofErr w:type="gramEnd"/>
            <w:r>
              <w:rPr>
                <w:iCs/>
                <w:sz w:val="24"/>
                <w:szCs w:val="24"/>
              </w:rPr>
              <w:t xml:space="preserve"> tại địa chỉ: https://motcua.hungyen.gov.vn</w:t>
            </w:r>
            <w:r>
              <w:rPr>
                <w:iCs/>
                <w:sz w:val="24"/>
                <w:szCs w:val="24"/>
              </w:rPr>
              <w:br/>
              <w:t>Trân trọng gửi Hội đồng thẩm định xem xét !</w:t>
            </w:r>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7.3.4</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Triển khai số hóa hồ sơ giải quyết TTHC</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Theo số liệu thống kê trên Hệ thống thông tin giải quyết TTHC tỉnh Hưng Yên từ ngày 01/01/2023 đến ngày 31/12/2023, kết quả đạt được như sau: - Tỷ lệ số hóa hồ sơ, kết quả giải quyết và cấp kết quả giải quyết TTHC điện tử đối với TTHC thuộc thẩm quyền giải quyết của cấp tỉnh đạt 93,84%, điểm đánh giá là 0.50 điểm - Tỷ lệ số hóa hồ sơ, kết quả giải quyết và cấp kết quả giải quyết TTHC điện tử đối với TTHC thuộc thẩm quyền giải quyết của cấp huyện đạt 70,76%, điểm đánh giá </w:t>
            </w:r>
            <w:r>
              <w:rPr>
                <w:iCs/>
                <w:sz w:val="24"/>
                <w:szCs w:val="24"/>
              </w:rPr>
              <w:lastRenderedPageBreak/>
              <w:t>0.25 điểm. - Tỷ lệ số hóa hồ sơ, kết quả giải quyết và cấp kết quả giải quyết TTHC điện tử đối với TTHC thuộc thẩm quyền giải quyết của cấp xã đạt 73</w:t>
            </w:r>
            <w:proofErr w:type="gramStart"/>
            <w:r>
              <w:rPr>
                <w:iCs/>
                <w:sz w:val="24"/>
                <w:szCs w:val="24"/>
              </w:rPr>
              <w:t>,67</w:t>
            </w:r>
            <w:proofErr w:type="gramEnd"/>
            <w:r>
              <w:rPr>
                <w:iCs/>
                <w:sz w:val="24"/>
                <w:szCs w:val="24"/>
              </w:rPr>
              <w:t>%, điểm đánh giá 0.25 điểm. Do đó, tổng điểm đạt được của tiêu chí thành phần này là 0.5+0.25+0.25=1.00 điểm</w:t>
            </w:r>
            <w:r>
              <w:rPr>
                <w:iCs/>
                <w:sz w:val="24"/>
                <w:szCs w:val="24"/>
              </w:rPr>
              <w:br/>
              <w:t xml:space="preserve">Trân trọng gửi Hội đồng thẩm định xem </w:t>
            </w:r>
            <w:proofErr w:type="gramStart"/>
            <w:r>
              <w:rPr>
                <w:iCs/>
                <w:sz w:val="24"/>
                <w:szCs w:val="24"/>
              </w:rPr>
              <w:t>xét !</w:t>
            </w:r>
            <w:proofErr w:type="gramEnd"/>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7.3.5</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Tỷ lệ dịch vụ công trực tuyến toàn trình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0,5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0,5</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 xml:space="preserve">Kết quả cung cấp dịch vụ công trực tuyến toàn trình của tỉnh Hưng Yên trong năm 2023như sau: - a (là tổng số dịch vụ công đủ điều kiện lên trực tuyến toàn trình do các cơ quan, đơn vị trên địa bàn tỉnh rà soát đề xuất trình UBND tỉnh công bố dịch vụ công toàn trình) = 1020 TTHC; - b (là số lượng dịch vụ công trực tuyến toàn trình - đã cập nhật đưa lên Hệ thống thông tin giải quyết TTHC tỉnh) = 1020 DVC. Tỷ lệ b/a = 1020/1020= 1. Tỷ lệ này lớn hơn 0.9 nên điểm đạt </w:t>
            </w:r>
            <w:r>
              <w:rPr>
                <w:iCs/>
                <w:sz w:val="24"/>
                <w:szCs w:val="24"/>
              </w:rPr>
              <w:lastRenderedPageBreak/>
              <w:t>được tính theo công thức: (1020/1020)*0.5=0.5 điểm.</w:t>
            </w:r>
            <w:r>
              <w:rPr>
                <w:iCs/>
                <w:sz w:val="24"/>
                <w:szCs w:val="24"/>
              </w:rPr>
              <w:br/>
              <w:t>Hiện tại Hệ thống thông tin giải quyết thủ tục hành chính tỉnh Hưng Yên đã cập nhật đầy đủ các thủ tục hành chính đủ điều kiện được cung cấp trực tuyến toàn trình theo đúng quy định tại Nghị định số 42/2022/NĐ-CP ngày 24/6/2022 của Chính phủ về Quy định về việc cung cấp thông tin và dịch vụ công trực tuyến của cơ quan nhà nước trên môi trường mạng sau khi có Quyết định công bố danh mục TTHC thuộc thẩm quyền giải quyết của các cơ quan, đơn vị ban hành. Xin cung cấp bổ sung tài liệu kiểm chứng: - địa chỉ liên kết: https://dichvucong.hungyen.gov.vn/dichvucong/bothutuc - Hình ảnh chụp màn hình hiển thị Hệ thống thông tin giải quyết TTHC tỉnh Hưng Yên. - Danh sách chi tiết 1020 thủ tục cung cấp dịch vụ công trực tuyến toàn trình trên hệ thống</w:t>
            </w:r>
            <w:r>
              <w:rPr>
                <w:iCs/>
                <w:sz w:val="24"/>
                <w:szCs w:val="24"/>
              </w:rPr>
              <w:br/>
              <w:t xml:space="preserve">Trân trọng gửi Hội đồng thẩm </w:t>
            </w:r>
            <w:r>
              <w:rPr>
                <w:iCs/>
                <w:sz w:val="24"/>
                <w:szCs w:val="24"/>
              </w:rPr>
              <w:lastRenderedPageBreak/>
              <w:t xml:space="preserve">định xem </w:t>
            </w:r>
            <w:proofErr w:type="gramStart"/>
            <w:r>
              <w:rPr>
                <w:iCs/>
                <w:sz w:val="24"/>
                <w:szCs w:val="24"/>
              </w:rPr>
              <w:t>xét !</w:t>
            </w:r>
            <w:proofErr w:type="gramEnd"/>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lastRenderedPageBreak/>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lastRenderedPageBreak/>
              <w:t>7.3.6</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Tỷ lệ hồ sơ trực tuyến toàn trình</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1,2233</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r>
              <w:rPr>
                <w:iCs/>
                <w:sz w:val="24"/>
                <w:szCs w:val="24"/>
              </w:rPr>
              <w:t>Theo tổng hợp số liệu năm 2022 trên địa bàn tỉnh Hưng Yên như sau: - a (là tổng số hồ sơ giải quyết trong năm của DVC trực tuyến toàn trình (gồm cả trực tuyến và không trực tuyến)) = 142958 hồ sơ; - b (là số hồ sơ giải quyết trực tuyến của DVC trực tuyến toàn trình (không sử dụng bản giấy)) = 116588 hồ sơ (đạt tỷ lệ: 81</w:t>
            </w:r>
            <w:proofErr w:type="gramStart"/>
            <w:r>
              <w:rPr>
                <w:iCs/>
                <w:sz w:val="24"/>
                <w:szCs w:val="24"/>
              </w:rPr>
              <w:t>,56</w:t>
            </w:r>
            <w:proofErr w:type="gramEnd"/>
            <w:r>
              <w:rPr>
                <w:iCs/>
                <w:sz w:val="24"/>
                <w:szCs w:val="24"/>
              </w:rPr>
              <w:t xml:space="preserve"> %). Tính điểm theo công thức: (b/a)*điểm tối đa = (116588/142958)*1.5 = 1.2233 điểm. Tài liệu kiểm chứng: - Số liệu kết xuất trên Hệ thống thông tin giải quyết TTHC tỉnh Hưng Yên.</w:t>
            </w:r>
            <w:r>
              <w:rPr>
                <w:iCs/>
                <w:sz w:val="24"/>
                <w:szCs w:val="24"/>
              </w:rPr>
              <w:br/>
              <w:t xml:space="preserve">Trân trọng gửi Hội đồng thẩm định xem </w:t>
            </w:r>
            <w:proofErr w:type="gramStart"/>
            <w:r>
              <w:rPr>
                <w:iCs/>
                <w:sz w:val="24"/>
                <w:szCs w:val="24"/>
              </w:rPr>
              <w:t>xét !</w:t>
            </w:r>
            <w:proofErr w:type="gramEnd"/>
            <w:r>
              <w:rPr>
                <w:iCs/>
                <w:sz w:val="24"/>
                <w:szCs w:val="24"/>
              </w:rPr>
              <w:br/>
            </w: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AF1A7B" w:rsidTr="00BE635C">
        <w:trPr>
          <w:gridAfter w:val="1"/>
          <w:wAfter w:w="11" w:type="dxa"/>
          <w:jc w:val="center"/>
        </w:trPr>
        <w:tc>
          <w:tcPr>
            <w:tcW w:w="765"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7.3.7</w:t>
            </w:r>
          </w:p>
        </w:tc>
        <w:tc>
          <w:tcPr>
            <w:tcW w:w="3458" w:type="dxa"/>
            <w:shd w:val="clear" w:color="auto" w:fill="auto"/>
            <w:hideMark/>
          </w:tcPr>
          <w:p w:rsidR="00BE635C" w:rsidRPr="00AF1A7B" w:rsidRDefault="00BE635C" w:rsidP="0093047A">
            <w:pPr>
              <w:widowControl w:val="0"/>
              <w:spacing w:before="120" w:after="120" w:line="288" w:lineRule="auto"/>
              <w:rPr>
                <w:bCs/>
                <w:sz w:val="24"/>
                <w:szCs w:val="24"/>
              </w:rPr>
            </w:pPr>
            <w:r w:rsidRPr="00AF1A7B">
              <w:rPr>
                <w:bCs/>
                <w:sz w:val="24"/>
                <w:szCs w:val="24"/>
              </w:rPr>
              <w:t>Thực hiện thanh toán trực tuyến</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1,5</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0,8717</w:t>
            </w:r>
          </w:p>
        </w:tc>
        <w:tc>
          <w:tcPr>
            <w:tcW w:w="3261" w:type="dxa"/>
            <w:shd w:val="clear" w:color="auto" w:fill="auto"/>
            <w:hideMark/>
          </w:tcPr>
          <w:p w:rsidR="00BE635C" w:rsidRPr="00AF1A7B" w:rsidRDefault="00BE635C" w:rsidP="0093047A">
            <w:pPr>
              <w:widowControl w:val="0"/>
              <w:spacing w:before="120" w:after="120" w:line="288" w:lineRule="auto"/>
              <w:rPr>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Default="00BE635C" w:rsidP="0093047A">
            <w:pPr>
              <w:widowControl w:val="0"/>
              <w:spacing w:before="120" w:after="120" w:line="288" w:lineRule="auto"/>
              <w:rPr>
                <w:iCs/>
                <w:sz w:val="24"/>
                <w:szCs w:val="24"/>
              </w:rPr>
            </w:pPr>
          </w:p>
        </w:tc>
      </w:tr>
      <w:tr w:rsidR="00BE635C" w:rsidRPr="00C60D51" w:rsidTr="00BE635C">
        <w:trPr>
          <w:gridAfter w:val="1"/>
          <w:wAfter w:w="11" w:type="dxa"/>
          <w:jc w:val="center"/>
        </w:trPr>
        <w:tc>
          <w:tcPr>
            <w:tcW w:w="765" w:type="dxa"/>
            <w:shd w:val="clear" w:color="auto" w:fill="auto"/>
            <w:hideMark/>
          </w:tcPr>
          <w:p w:rsidR="00BE635C" w:rsidRPr="00C60D51" w:rsidRDefault="00BE635C" w:rsidP="0093047A">
            <w:pPr>
              <w:widowControl w:val="0"/>
              <w:spacing w:before="120" w:after="120" w:line="288" w:lineRule="auto"/>
              <w:rPr>
                <w:b/>
                <w:bCs/>
                <w:sz w:val="24"/>
                <w:szCs w:val="24"/>
              </w:rPr>
            </w:pPr>
          </w:p>
        </w:tc>
        <w:tc>
          <w:tcPr>
            <w:tcW w:w="3458"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TỔNG ĐIỂM</w:t>
            </w:r>
          </w:p>
        </w:tc>
        <w:tc>
          <w:tcPr>
            <w:tcW w:w="850" w:type="dxa"/>
            <w:shd w:val="clear" w:color="auto" w:fill="auto"/>
            <w:hideMark/>
          </w:tcPr>
          <w:p w:rsidR="00BE635C" w:rsidRPr="00C60D51" w:rsidRDefault="00BE635C" w:rsidP="0093047A">
            <w:pPr>
              <w:widowControl w:val="0"/>
              <w:spacing w:before="120" w:after="120" w:line="288" w:lineRule="auto"/>
              <w:jc w:val="center"/>
              <w:rPr>
                <w:b/>
                <w:bCs/>
                <w:sz w:val="24"/>
                <w:szCs w:val="24"/>
              </w:rPr>
            </w:pPr>
            <w:r>
              <w:rPr>
                <w:b/>
                <w:bCs/>
                <w:sz w:val="24"/>
                <w:szCs w:val="24"/>
              </w:rPr>
              <w:t>100</w:t>
            </w:r>
          </w:p>
        </w:tc>
        <w:tc>
          <w:tcPr>
            <w:tcW w:w="1134" w:type="dxa"/>
            <w:shd w:val="clear" w:color="auto" w:fill="auto"/>
            <w:hideMark/>
          </w:tcPr>
          <w:p w:rsidR="00BE635C" w:rsidRPr="00C60D51" w:rsidRDefault="00BE635C" w:rsidP="0093047A">
            <w:pPr>
              <w:widowControl w:val="0"/>
              <w:spacing w:before="120" w:after="120" w:line="288" w:lineRule="auto"/>
              <w:jc w:val="center"/>
              <w:rPr>
                <w:b/>
                <w:iCs/>
                <w:sz w:val="24"/>
                <w:szCs w:val="24"/>
              </w:rPr>
            </w:pPr>
            <w:r>
              <w:rPr>
                <w:b/>
                <w:iCs/>
                <w:sz w:val="24"/>
                <w:szCs w:val="24"/>
              </w:rPr>
              <w:t>54,4628</w:t>
            </w:r>
          </w:p>
        </w:tc>
        <w:tc>
          <w:tcPr>
            <w:tcW w:w="3261" w:type="dxa"/>
            <w:shd w:val="clear" w:color="auto" w:fill="auto"/>
            <w:hideMark/>
          </w:tcPr>
          <w:p w:rsidR="00BE635C" w:rsidRPr="00C60D51" w:rsidRDefault="00BE635C" w:rsidP="0093047A">
            <w:pPr>
              <w:widowControl w:val="0"/>
              <w:spacing w:before="120" w:after="120" w:line="288" w:lineRule="auto"/>
              <w:rPr>
                <w:b/>
                <w:iCs/>
                <w:sz w:val="24"/>
                <w:szCs w:val="24"/>
              </w:rPr>
            </w:pPr>
          </w:p>
        </w:tc>
        <w:tc>
          <w:tcPr>
            <w:tcW w:w="1389" w:type="dxa"/>
          </w:tcPr>
          <w:p w:rsidR="00BE635C" w:rsidRPr="00C60D51" w:rsidRDefault="00BE635C" w:rsidP="0093047A">
            <w:pPr>
              <w:widowControl w:val="0"/>
              <w:spacing w:before="120" w:after="120" w:line="288" w:lineRule="auto"/>
              <w:jc w:val="center"/>
              <w:rPr>
                <w:b/>
                <w:iCs/>
                <w:sz w:val="24"/>
                <w:szCs w:val="24"/>
              </w:rPr>
            </w:pPr>
            <w:r>
              <w:rPr>
                <w:b/>
                <w:iCs/>
                <w:sz w:val="24"/>
                <w:szCs w:val="24"/>
              </w:rPr>
              <w:t>0</w:t>
            </w:r>
          </w:p>
        </w:tc>
        <w:tc>
          <w:tcPr>
            <w:tcW w:w="3223" w:type="dxa"/>
          </w:tcPr>
          <w:p w:rsidR="00BE635C" w:rsidRPr="00AF1A7B" w:rsidRDefault="00BE635C" w:rsidP="0093047A">
            <w:pPr>
              <w:widowControl w:val="0"/>
              <w:spacing w:before="120" w:after="120" w:line="288" w:lineRule="auto"/>
              <w:rPr>
                <w:iCs/>
                <w:sz w:val="24"/>
                <w:szCs w:val="24"/>
              </w:rPr>
            </w:pPr>
          </w:p>
        </w:tc>
      </w:tr>
    </w:tbl>
    <w:p w:rsidR="003B2CBD" w:rsidRPr="00BE635C" w:rsidRDefault="003B2CBD" w:rsidP="00BE635C"/>
    <w:sectPr w:rsidR="003B2CBD" w:rsidRPr="00BE635C" w:rsidSect="00BE635C">
      <w:headerReference w:type="default" r:id="rId6"/>
      <w:pgSz w:w="15840" w:h="12240" w:orient="landscape"/>
      <w:pgMar w:top="964" w:right="964" w:bottom="964" w:left="964"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0956" w:rsidRDefault="00150956" w:rsidP="000A7368">
      <w:pPr>
        <w:spacing w:after="0" w:line="240" w:lineRule="auto"/>
      </w:pPr>
      <w:r>
        <w:separator/>
      </w:r>
    </w:p>
  </w:endnote>
  <w:endnote w:type="continuationSeparator" w:id="0">
    <w:p w:rsidR="00150956" w:rsidRDefault="00150956" w:rsidP="000A7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0956" w:rsidRDefault="00150956" w:rsidP="000A7368">
      <w:pPr>
        <w:spacing w:after="0" w:line="240" w:lineRule="auto"/>
      </w:pPr>
      <w:r>
        <w:separator/>
      </w:r>
    </w:p>
  </w:footnote>
  <w:footnote w:type="continuationSeparator" w:id="0">
    <w:p w:rsidR="00150956" w:rsidRDefault="00150956" w:rsidP="000A7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855" w:rsidRDefault="00480855">
    <w:pPr>
      <w:pStyle w:val="Header"/>
    </w:pPr>
    <w:r>
      <w:t xml:space="preserve">PAR INDEX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368"/>
    <w:rsid w:val="000003AC"/>
    <w:rsid w:val="00007BDD"/>
    <w:rsid w:val="000A7368"/>
    <w:rsid w:val="000D4768"/>
    <w:rsid w:val="000F5BFD"/>
    <w:rsid w:val="00150956"/>
    <w:rsid w:val="001657C8"/>
    <w:rsid w:val="00177520"/>
    <w:rsid w:val="00191DA7"/>
    <w:rsid w:val="001D72D6"/>
    <w:rsid w:val="00203D6B"/>
    <w:rsid w:val="002157FD"/>
    <w:rsid w:val="0022410F"/>
    <w:rsid w:val="00256541"/>
    <w:rsid w:val="00271D18"/>
    <w:rsid w:val="002A62B7"/>
    <w:rsid w:val="003B2CBD"/>
    <w:rsid w:val="003C31AC"/>
    <w:rsid w:val="003F10B9"/>
    <w:rsid w:val="00452067"/>
    <w:rsid w:val="00480855"/>
    <w:rsid w:val="004C52B5"/>
    <w:rsid w:val="004D5B4F"/>
    <w:rsid w:val="004F7523"/>
    <w:rsid w:val="00590265"/>
    <w:rsid w:val="005C754B"/>
    <w:rsid w:val="006073B3"/>
    <w:rsid w:val="00626C4B"/>
    <w:rsid w:val="006F2784"/>
    <w:rsid w:val="00720530"/>
    <w:rsid w:val="00747DD5"/>
    <w:rsid w:val="0076444B"/>
    <w:rsid w:val="00797E76"/>
    <w:rsid w:val="007A0376"/>
    <w:rsid w:val="007A5661"/>
    <w:rsid w:val="007B5BAC"/>
    <w:rsid w:val="00810934"/>
    <w:rsid w:val="008D5132"/>
    <w:rsid w:val="008E51F7"/>
    <w:rsid w:val="0093421D"/>
    <w:rsid w:val="009B0EA2"/>
    <w:rsid w:val="009C5E15"/>
    <w:rsid w:val="009D4B08"/>
    <w:rsid w:val="009E274C"/>
    <w:rsid w:val="009E42B2"/>
    <w:rsid w:val="00A120D5"/>
    <w:rsid w:val="00A44948"/>
    <w:rsid w:val="00AA04E9"/>
    <w:rsid w:val="00AF1A7B"/>
    <w:rsid w:val="00B508E2"/>
    <w:rsid w:val="00BA76B9"/>
    <w:rsid w:val="00BE635C"/>
    <w:rsid w:val="00BE77B9"/>
    <w:rsid w:val="00C3299A"/>
    <w:rsid w:val="00C60D51"/>
    <w:rsid w:val="00D31CFE"/>
    <w:rsid w:val="00DD0420"/>
    <w:rsid w:val="00E00E9F"/>
    <w:rsid w:val="00E27F58"/>
    <w:rsid w:val="00E76035"/>
    <w:rsid w:val="00EA3052"/>
    <w:rsid w:val="00EF7B6C"/>
    <w:rsid w:val="00F40201"/>
    <w:rsid w:val="00F65997"/>
    <w:rsid w:val="00FC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EFB884-3E3A-45B8-832A-E36B2597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ngXi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7520"/>
    <w:pPr>
      <w:spacing w:after="160" w:line="259" w:lineRule="auto"/>
    </w:pPr>
    <w:rPr>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73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7368"/>
    <w:pPr>
      <w:tabs>
        <w:tab w:val="center" w:pos="4320"/>
        <w:tab w:val="right" w:pos="8640"/>
      </w:tabs>
    </w:pPr>
  </w:style>
  <w:style w:type="character" w:customStyle="1" w:styleId="HeaderChar">
    <w:name w:val="Header Char"/>
    <w:link w:val="Header"/>
    <w:uiPriority w:val="99"/>
    <w:rsid w:val="000A7368"/>
    <w:rPr>
      <w:sz w:val="28"/>
      <w:szCs w:val="28"/>
    </w:rPr>
  </w:style>
  <w:style w:type="paragraph" w:styleId="Footer">
    <w:name w:val="footer"/>
    <w:basedOn w:val="Normal"/>
    <w:link w:val="FooterChar"/>
    <w:uiPriority w:val="99"/>
    <w:unhideWhenUsed/>
    <w:rsid w:val="000A7368"/>
    <w:pPr>
      <w:tabs>
        <w:tab w:val="center" w:pos="4320"/>
        <w:tab w:val="right" w:pos="8640"/>
      </w:tabs>
    </w:pPr>
  </w:style>
  <w:style w:type="character" w:customStyle="1" w:styleId="FooterChar">
    <w:name w:val="Footer Char"/>
    <w:link w:val="Footer"/>
    <w:uiPriority w:val="99"/>
    <w:rsid w:val="000A7368"/>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40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B8C9B041-7A6A-49C9-8730-D60ECEB3E710}"/>
</file>

<file path=customXml/itemProps2.xml><?xml version="1.0" encoding="utf-8"?>
<ds:datastoreItem xmlns:ds="http://schemas.openxmlformats.org/officeDocument/2006/customXml" ds:itemID="{070231DC-0FBB-40F3-A914-ADDC09702286}"/>
</file>

<file path=customXml/itemProps3.xml><?xml version="1.0" encoding="utf-8"?>
<ds:datastoreItem xmlns:ds="http://schemas.openxmlformats.org/officeDocument/2006/customXml" ds:itemID="{1F5B3E25-2F78-4E3A-B93E-B564289AE8FA}"/>
</file>

<file path=docProps/app.xml><?xml version="1.0" encoding="utf-8"?>
<Properties xmlns="http://schemas.openxmlformats.org/officeDocument/2006/extended-properties" xmlns:vt="http://schemas.openxmlformats.org/officeDocument/2006/docPropsVTypes">
  <Template>Normal.dotm</Template>
  <TotalTime>1</TotalTime>
  <Pages>31</Pages>
  <Words>3853</Words>
  <Characters>21968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John</dc:creator>
  <cp:lastModifiedBy>CMS</cp:lastModifiedBy>
  <cp:revision>2</cp:revision>
  <dcterms:created xsi:type="dcterms:W3CDTF">2024-01-15T09:12:00Z</dcterms:created>
  <dcterms:modified xsi:type="dcterms:W3CDTF">2024-01-15T09:12:00Z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